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XX市人民政府关于XXX等同志职务任免的通知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各县人民政府，市政府各部门、各直属机构：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根据工作需要，经市政府研究决定：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任命。XXX为XX市发展和改革委员会主任；XXX为XX市教育局局长；XXX为XX市科学技术局局长；XXX为XX市工业和信息化局局长；XXX为XX市公安局局长；XXX为XX市民政局局长；XXX为XX市司法局局长；XXX为XX市财政局局长；XXX为XX市人力资源和社会保障局局长；XXX为XX市自然资源和规划局局长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免去。XXX的XX市发展和改革委员会主任职务；XXX的XX市教育局局长职务；XXX的XX市科学技术局局长职务；XXX的XX市工业和信息化局局长职务；XXX的XX市公安局局长职务；XXX的XX市民政局局长职务；XXX的XX市司法局局长职务；XXX的XX市财政局局长职务；XXX的XX市人力资源和社会保障局局长职务；XXX的XX市自然资源和规划局局长职务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上述同志的任免职时间自XXXX年XX月XX日起计算。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XX市人民政府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