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560" w:lineRule="exact"/>
        <w:jc w:val="center"/>
      </w:pPr>
      <w:r>
        <w:rPr>
          <w:rFonts w:ascii="方正小标宋简体" w:hAnsi="方正小标宋简体" w:eastAsia="方正小标宋简体"/>
          <w:b/>
          <w:sz w:val="44"/>
        </w:rPr>
        <w:t>设计行业工作总结</w:t>
      </w:r>
    </w:p>
    <w:p/>
    <w:p>
      <w:pPr>
        <w:spacing w:line="560" w:lineRule="exact"/>
        <w:ind w:firstLine="640"/>
        <w:jc w:val="both"/>
      </w:pPr>
      <w:r>
        <w:rPr>
          <w:rFonts w:ascii="仿宋" w:hAnsi="仿宋" w:eastAsia="仿宋"/>
          <w:b w:val="0"/>
          <w:sz w:val="32"/>
        </w:rPr>
        <w:t>设计行业作为现代服务业的重要组成部分，承担着创意设计、品牌塑造、产品创新的重要职责。2025年度，我单位深入贯彻落实国家关于促进创意设计产业发展的战略部署，紧紧围绕设计行业高质量发展目标，各项工作取得显著成效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一、行业发展基本情况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市场规模稳步增长。全年设计行业实现营业收入约5500亿元，同比增长15.8%。其中，工业设计收入占比30%，平面设计占比25%，建筑设计占比20%，室内设计占比15%，其他设计占比10%。数字化设计快速发展，数字设计收入占比达45%，较上年增长12个百分点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（二）服务需求结构变化。工业设计需求旺盛，产品创新推动发展。品牌设计需求增长，企业品牌建设投入增加。建筑设计需求稳定，城镇化建设带动发展。室内设计需求增加，家居装修市场活跃。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（三）设计水平显著提升。设计专业化程度提高，设计质量稳定。设计创新能力增强，原创设计增多。设计技术进步，数字化设计普及。设计国际化程度提高，国际项目增多。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二、主要工作成效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（一）人才培养成效显著。开展设计专业培训，培训人员超过10万人次。组织设计大赛，发掘优秀人才。建立设计人才库，储备专业人才。全年培养设计专业人才超过2万人，人才队伍壮大。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（二）行业规范化建设取得进展。制定设计行业服务标准，规范服务流程。开展设计师资质认证，提高专业水平。建立服务质量评价体系，提升服务水平。处理投诉举报1800余件，满意度达90%。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品牌建设成效明显。开展"设计行业品牌培育工程"，培育一批知名设计公司。支持企业参加行业评选，提升品牌影响力。推动品牌连锁发展，扩大品牌覆盖面。新增知名设计品牌80余个，品牌价值评估体系完善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（四）技术创新取得进展。支持设计技术创新，提高设计质量。推动数字化设计应用，提高设计效率。建设设计技术平台，提升服务能力。开发设计软件工具，降低设计成本。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三、存在的问题与不足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（一）设计能力有待提升。原创设计能力不足，同质化设计严重。设计创新意识不强，创新能力弱。高端设计人才缺乏，人才结构不合理。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（二）行业规范程度不高。行业准入标准不明确，市场秩序有待规范。设计价格不透明，价格竞争激烈。设计质量参差不齐，服务质量不稳定。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（三）知识产权保护有待加强。知识产权意识薄弱，侵权行为时有发生。维权成本高，维权难度大。知识产权交易机制不完善，交易不活跃。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四、下一步工作计划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（一）提升设计能力。加强原创设计培训，提高创新能力。培养高端设计人才，优化人才结构。建立设计案例库，积累设计经验。开展设计交流，拓宽设计视野。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（二）规范行业发展秩序。完善行业准入标准，规范经营行为。制定设计价格标准，规范价格行为。建立服务质量评价体系，提升服务水平。推动诚信体系建设，营造良好市场环境。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（三）加强知识产权保护。开展知识产权保护宣传，提高保护意识。完善知识产权登记机制，保护创作者权益。建立知识产权交易平台，促进知识产权交易。处理知识产权纠纷，维护合法权益。</w:t>
      </w:r>
    </w:p>
    <w:p>
      <w:pPr>
        <w:spacing w:line="560" w:lineRule="exact"/>
        <w:ind w:firstLine="640"/>
        <w:jc w:val="both"/>
      </w:pPr>
      <w:r>
        <w:rPr>
          <w:rFonts w:ascii="仿宋" w:hAnsi="仿宋" w:eastAsia="仿宋"/>
          <w:b/>
          <w:sz w:val="32"/>
        </w:rPr>
        <w:t>（四）推动技术创新。支持设计技术创新，提高设计质量。推动数字化设计应用，提高设计效率。建设设计技术平台，提升服务能力。开发设计软件工具，降低设计成本。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