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模特行业工作总结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模特行业作为时尚产业的重要组成部分，承担着展示时尚、传播文化、服务商业的重要职责。2025年度，我单位深入贯彻落实国家关于文化产业发展的战略部署，紧紧围绕模特行业规范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模特行业实现营业收入约280亿元，同比增长12.5%。其中，时装模特服务收入占比40%，商业模特占比30%，平面模特占比20%，其他模特服务占比10%。线上模特服务快速发展，网络模特收入占比达25%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（二）服务需求结构变化。时装模特需求稳定，时装周、品牌发布会增多。商业模特需求增长，广告拍摄、商业活动增多。平面模特需求增加，电商拍摄、杂志拍摄增多。直播模特兴起，网络直播带货增多。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（三）服务水平显著提升。模特专业素质提高，职业能力增强。模特培训规范化，培训效果提升。模特经纪专业化，服务质量稳定。模特权益保障加强，行业环境改善。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（一）人才培养成效显著。开展模特专业培训，培训人员超过3万人次。组织模特大赛，发掘优秀人才。建立模特人才库，储备专业人才。全年培养专业模特超过5000人，人才队伍壮大。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（二）行业规范化建设取得进展。制定模特行业服务标准，规范服务流程。开展模特资质认证，提高专业水平。建立服务质量评价体系，提升服务水平。处理投诉举报850余件，满意度达88%。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（三）权益保障持续加强。完善模特合同范本，规范签约行为。建立模特权益保障机制，维护合法权益。开展权益保护宣传，提高维权意识。处理权益纠纷案件320余起，权益保障环境改善。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品牌建设成效明显。开展"模特行业品牌培育工程"，培育一批知名模特经纪公司。支持企业参加行业评选，提升品牌影响力。推动品牌连锁发展，扩大品牌覆盖面。新增知名模特经纪品牌20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（一）专业水平有待提高。从业人员资质参差不齐，专业技能有待提高。培训体系不完善，培训质量不稳定。职业素养不强，职业道德有待提升。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（二）行业规范程度不高。行业准入标准不明确，市场秩序有待规范。小型模特经纪公司管理不规范，服务质量难以保证。价格竞争激烈，恶性竞争时有发生。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（三）权益保障有待加强。合同不规范，权益纠纷时有发生。收入分配不合理，模特权益受损。维权成本高，维权渠道不畅。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（一）提升专业水平。完善培训体系，提高培训质量。组织专业认证，规范从业资格。建立人才评价机制，激励人才成长。开展职业道德教育，提高职业素养。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（三）加强权益保障。完善合同范本，规范签约行为。建立权益保障机制，维护合法权益。开展权益保护宣传，提高维权意识。处理权益纠纷，保障模特权益。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（四）加强品牌建设。实施品牌培育计划，打造知名品牌。支持品牌营销推广，提升品牌影响力。推动品牌连锁发展，扩大品牌覆盖面。加强品牌保护，维护品牌权益。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