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游戏行业工作总结模板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根据国家新闻出版署的工作部署和要求，我司坚持服务玩家、服务经济社会的理念，深入推进游戏行业发展，不断提升产品质量和服务水平。现将本年度工作总结如下：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30亿元，同比增长20%；实现利润总额8亿元，同比增长25%。游戏产品数量达到20款，同比增长10%。游戏用户数量达到1亿人，同比增长15%。月活跃用户达到5000万人，日活跃用户达到1000万人。用户留存率达到60%，用户付费率达到10%。ARPU值达到100元，同比增长5%。游戏下载量达到5亿次，游戏评分达到4.5分。客户满意度达到90%，客户投诉率下降20%。市场占有率达到5%，行业排名前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二、游戏研发能力持续提升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游戏研发能力建设，提升游戏研发水平。完善游戏研发制度，制定游戏研发手册，明确研发流程。建设游戏研发团队，配备研发人员1000人。其中，策划人员200人，程序人员500人，美术人员300人。开展游戏研发培训，培训研发人员3000人次。建设游戏研发平台，建设游戏引擎，实现游戏开发高效化。建设美术资源平台，实现美术资源管理规范化。建设测试平台，实现游戏测试自动化。建设运维平台，实现游戏运维自动化。游戏研发效率提升20%，游戏研发成本下降10%。获得省级游戏研发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三、游戏产品质量持续提升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游戏产品质量管理，提升游戏产品质量。完善游戏质量管理制度，制定游戏质量管理手册，明确质量要求。建设游戏质量管理体系，实施游戏质量评审制度。开展游戏质量测试，测试游戏产品20款，测试用例5万条，测试覆盖率95%。开展游戏质量检查，检查游戏产品20款，发现质量问题500项，整改率100%。开展游戏质量评估，评估游戏产品20款，游戏产品质量合格率99%。游戏产品质量显著提升，游戏产品缺陷率下降30%。获得省级游戏产品质量先进单位称号、游戏版号审批通过率100%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四、游戏运营能力持续提升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游戏运营能力建设，提升游戏运营水平。完善游戏运营制度，制定游戏运营手册，明确运营流程。建设游戏运营团队，配备运营人员200人。开展游戏运营培训，培训运营人员1000人次。开展游戏运营活动，举办运营活动100场，活动参与人数达到5000万人次。开展游戏用户运营，运营用户1亿人，用户活跃率提升10%。开展游戏内容运营，更新游戏内容50次，内容更新满意度90%。开展游戏社区运营，运营社区用户500万人，社区活跃率提升15%。游戏运营能力显著提升，游戏运营水平显著增强。获得省级游戏运营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五、技术创新成果丰硕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技术创新投入，提升核心竞争力。本年度研发投入达到3亿元，占营收比例达到10%。研发团队规模达到1000人，其中高级工程师200人。开展研发项目50项，完成研发项目40项。申请专利50项，其中发明专利30项，获得专利授权30项。获得软件著作权50项。获得游戏创新奖10项，其中省级游戏创新奖5项。建设研发平台，建成省级游戏研发中心。开展产学研合作，与5所高校建立合作关系，联合培养人才50人。技术创新能力显著提升，技术水平显著增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六、内容审核管理不断加强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内容审核管理，确保内容合规。完善内容审核制度，制定内容审核手册，明确审核要求。建设内容审核团队，配备审核人员100人。开展内容审核培训，培训审核人员500人次。开展内容审核，审核游戏内容10万条，审核通过率95%。开展内容自查，自查游戏内容5万条，发现问题内容100条，整改率100%。开展内容监控，监控游戏内容实时，内容合规率99%。建立内容审核机制，实施三级审核制度，审核覆盖率100%。建立内容应急机制，处理内容应急事件10件，处理及时率100%。全年未发生重大内容违规事件，内容合规率达到99%。获得省级内容审核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传播正能量。开展防沉迷系统建设，建设防沉迷系统，防沉迷覆盖率100%。开展未成年人保护，保护未成年人权益，未成年人游戏时长下降50%。开展公益游戏开发，开发公益游戏5款，公益游戏下载量达到1000万次。开展游戏文化推广，推广游戏文化，举办游戏文化活动10场。开展游戏人才培养，培养游戏人才500人。开展扶贫帮扶，帮扶贫困户20户。开展捐赠活动，捐赠资金200万元。获得省级社会责任示范企业称号、省级未成年人保护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游戏行业发展。加强游戏研发能力建设，提升游戏研发水平。加强游戏产品质量管理，提升游戏产品质量。加强游戏运营能力建设，提升游戏运营水平。推进技术创新，提升核心竞争力。加强内容审核管理，确保内容合规。履行社会责任，传播正能量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