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咨询行业工作总结模板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根据国家发展和改革委员会的工作部署和要求，我司坚持服务经济社会发展、服务企业发展的理念，深入推进咨询行业发展，不断提升服务质量和专业水平。现将本年度工作总结如下：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业务稳步增长。本年度服务客户500家，同比增长20%。其中，战略咨询客户100家，管理咨询客户200家，技术咨询客户100家，其他咨询客户100家。营业收入达到5亿元，同比增长15%；实现利润总额1亿元，同比增长18%。咨询顾问人数达到300人，同比增长15%。其中，合伙人50人，资深顾问100人，顾问150人。咨询项目完成量达到1000个，同比增长15%。其中，战略咨询项目200个，管理咨询项目400个，技术咨询项目200个，其他咨询项目200个。客户满意度达到95%，客户回头率达到70%。项目交付准时率达到98%，项目质量合格率达到99%。获得省级优秀咨询机构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二、专业能力持续提升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专业能力建设，提升咨询服务水平。完善专业培训制度，制定培训计划，明确培训内容。开展专业培训，培训咨询顾问5000人次。开展案例研讨，研讨案例300个。开展业务交流，组织业务交流100次。开展专业学习，学习新理论新方法100项。建设专业团队，建设专业团队10个，其中战略咨询团队、组织咨询团队、人力资源咨询团队、财务咨询团队、营销咨询团队、IT咨询团队、供应链咨询团队、运营咨询团队、风险咨询团队、国际业务咨询团队。建设专业数据库，收录案例5000个，收录方法论500种。专业能力显著提升，专业服务水平显著增强。获得省级专业能力建设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三、服务质量不断优化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质量管理体系，通过ISO9001质量管理体系认证。开展服务质量检查，检查项目1000个，发现服务质量问题50项，整改率达到100%。开展客户满意度调查，客户满意度达到95%。处理客户投诉20件，投诉处理满意率达到98%。开展客户关怀活动，关怀客户200人次。建设客户管理系统，管理客户信息500条。建设项目管理系统，管理项目信息1000条。服务质量显著提升，客户满意度显著增强。获得省级服务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四、知识管理不断加强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知识管理，提升知识资产价值。完善知识管理制度，制定知识管理手册，明确知识管理流程。建设知识管理系统，实现知识沉淀、知识共享、知识应用。建设知识库，收录案例5000个，收录方法论500种，收录报告模板1000个。开展知识分享，组织知识分享会100次，分享知识1000项。开展知识培训，培训咨询顾问5000人次。开展知识创新，创新方法论50种。知识管理能力显著提升，知识资产价值显著增强。获得省级知识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五、合规管理不断加强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合规管理，确保依法执业。完善合规管理制度，制定合规手册，明确合规要求。开展合规培训，培训咨询顾问5000人次。开展合规检查，检查项目1000个，发现合规问题20项，整改率达到100%。开展职业道德教育，教育咨询顾问5000人次。开展执业纪律教育，教育咨询顾问5000人次。建立投诉处理机制，处理投诉20件，投诉处理满意率达到98%。建立违规惩戒机制，惩戒违规咨询顾问2人。全年未发生重大违规事件，执业合规率达到99.5%。获得省级合规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六、信息化建设深入推进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信息化建设，提升信息化水平。建设项目管理系统，实现项目全程管理，项目管理覆盖率达到100%。建设客户管理系统，实现客户信息管理，客户信息管理覆盖率达到100%。建设财务管理系统，实现财务管理信息化，财务管理覆盖率达到100%。建设人力资源系统，实现人力资源管理信息化，人力资源管理覆盖率达到100%。建设办公自动化系统，实现办公自动化，办公自动化覆盖率达到100%。建设知识管理系统，实现知识管理信息化，知识管理覆盖率达到100%。建设数据分析系统，实现数据分析，数据分析能力显著提升。信息化投入达到800万元，信息化水平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服务经济社会发展。开展公益咨询服务，服务公益客户50家。开展咨询培训，培训企业管理人员1000人次。开展管理讲座，举办管理讲座50场，发放管理资料5万份。开展企业诊断，为100家企业提供诊断服务。开展创业辅导，辅导创业企业50家。开展扶贫帮扶，帮扶贫困户20户。开展捐赠活动，捐赠资金20万元。获得省级公益咨询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咨询行业发展。加强专业能力建设，提升咨询服务水平。提升服务质量，增强客户满意度。加强知识管理，提升知识资产价值。加强合规管理，确保依法执业。推进信息化建设，提升信息化水平。履行社会责任，服务经济社会发展。加强人才队伍建设，打造高素质团队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