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法律行业工作总结模板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根据司法部的工作部署和要求，我司坚持服务人民、服务法治建设的理念，深入推进法律服务行业发展，不断提升服务质量和专业水平。现将本年度工作总结如下：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一、业务发展稳步增长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业务稳步增长。本年度办理案件5000件，同比增长15%。其中，民事诉讼案件3000件，刑事诉讼案件500件，行政诉讼案件200件，非诉讼法律事务1300件。服务客户10000人次，同比增长20%。营业收入达到2亿元，同比增长18%；实现利润总额5000万元，同比增长20%。律师人数达到200人，同比增长10%。其中，合伙人律师50人，资深律师80人，初级律师70人。案件胜诉率达到85%，客户满意度达到95%。案件处理效率提升15%，案件处理周期缩短10%。获得省级优秀律师事务所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二、专业能力持续提升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专业能力建设，提升法律服务水平。完善专业培训制度，制定培训计划，明确培训内容。开展专业培训，培训律师2000人次。开展案例研讨，研讨案例200个。开展业务交流，组织业务交流50次。开展专业学习，学习新法律法规100部。建设专业团队，建设专业团队10个，其中民商事团队、刑事团队、行政团队、知识产权团队、公司法团队、金融团队、房地产团队、劳动法团队、涉外法律团队、非诉讼团队。建设专业数据库，收录案例10000个，收录法规10000部。专业能力显著提升，专业服务水平显著增强。获得省级专业能力建设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三、服务质量不断优化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服务至上理念，提升服务质量。完善服务标准，制定服务规范，明确服务流程。建设服务质量管理体系，通过ISO9001质量管理体系认证。开展服务质量检查，检查案件5000件，发现服务质量问题100项，整改率达到100%。开展客户满意度调查，客户满意度达到95%。处理客户投诉50件，投诉处理满意率达到98%。开展客户关怀活动，关怀客户1000人次。建设客户管理系统，管理客户信息10000条。建设案件管理系统，管理案件信息5000条。服务质量显著提升，客户满意度显著增强。获得省级服务质量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四、合规管理不断加强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合规管理，确保依法执业。完善合规管理制度，制定合规手册，明确合规要求。开展合规培训，培训律师2000人次。开展合规检查，检查案件5000件，发现合规问题50项，整改率达到100%。开展职业道德教育，教育律师2000人次。开展执业纪律教育，教育律师2000人次。建立投诉处理机制，处理投诉50件，投诉处理满意率达到98%。建立违规惩戒机制，惩戒违规律师5人。全年未发生重大违规事件，执业合规率达到99%。获得省级合规管理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五、信息化建设深入推进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快信息化建设，提升信息化水平。建设案件管理系统，实现案件全程管理，案件管理覆盖率达到100%。建设客户管理系统，实现客户信息管理，客户信息管理覆盖率达到100%。建设财务管理系统，实现财务管理信息化，财务管理覆盖率达到100%。建设人力资源系统，实现人力资源管理信息化，人力资源管理覆盖率达到100%。建设办公自动化系统，实现办公自动化，办公自动化覆盖率达到100%。建设知识管理系统，实现知识管理信息化，知识管理覆盖率达到100%。建设数据分析系统，实现数据分析，数据分析能力显著提升。信息化投入达到500万元，信息化水平显著提升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六、社会责任积极履行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积极履行社会责任，服务法治建设。开展公益法律服务，办理公益案件500件，服务公益客户1000人次。开展法律援助，办理法律援助案件200件，服务法律援助对象200人次。开展普法宣传，举办普法讲座100场，发放普法资料10万份。开展法律咨询，提供法律咨询5000人次。开展法治体检，为100家企业提供法治体检服务。开展法律培训，培训企业法律人员1000人次。开展扶贫帮扶，帮扶贫困户50户。开展捐赠活动，捐赠资金50万元。获得省级公益法律服务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人才队伍建设，打造高素质团队。本年度引进各类人才30人，其中高级人才10人。律师人数达到200人，其中合伙人律师50人，资深律师80人，初级律师70人。开展员工培训，全年培训律师2000人次。完善薪酬激励体系，实施绩效考核制度。加强企业文化建设，开展企业文化活动，增强员工凝聚力。员工满意度达到90%，员工流失率控制在5%以下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推进法律服务行业发展。加强专业能力建设，提升法律服务水平。提升服务质量，增强客户满意度。加强合规管理，确保依法执业。推进信息化建设，提升信息化水平。履行社会责任，服务法治建设。加强人才队伍建设，打造高素质团队。推进企业数字化转型，提升运营效率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