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互联网行业工作总结模板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根据工业和信息化部的工作部署和要求，我司坚持创新驱动发展战略，深入推进数字化转型，不断提升产品服务质量和用户体验。现将本年度工作总结如下：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一、业务发展势头良好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用户导向，优化产品服务，实现业务快速增长。截至年末，公司总营收达到85亿元，同比增长35%；净利润达到12亿元，同比增长42%。月活跃用户达到2.5亿，日活跃用户达到8000万，用户留存率达到65%。平台交易额达到500亿元，同比增长45%。新增注册用户5000万，用户满意度达到92%。公司估值达到500亿元，成功完成D轮融资，融资额达到30亿元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二、产品创新持续推进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产品研发投入，不断推出创新产品。本年度研发投入达到15亿元，占营收比例达到18%。推出新产品8款，升级迭代产品版本56次。核心产品功能优化，用户使用时长提升30%。推出AI智能推荐系统，推荐准确率达到95%，用户点击率提升25%。推出短视频功能，日发布视频量达到500万条，视频播放量达到10亿次。推出直播功能，日均直播场次达到5万场，直播观看人数达到2000万。推出社交电商功能，电商交易额达到80亿元。推出在线教育产品，课程数量达到5000门，学员人数达到500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三、技术研发能力显著提升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技术研发，提升核心竞争力。研发团队规模达到2000人，其中高级工程师500人，技术专家50人。申请专利256项，其中发明专利180项，获得专利授权125项。获得软件著作权86项。发表技术论文35篇。参与制定行业标准8项。建设技术平台，推出云计算平台，服务企业客户5000家。推出大数据平台，数据处理能力达到PB级。推出人工智能平台，提供AI服务能力。建设安全平台，保障用户数据安全。建设运维平台，系统可用性达到99.99%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四、数据安全与隐私保护不断加强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高度重视数据安全和用户隐私保护，建立健全安全管理体系。完善数据安全管理制度，制定数据分类分级标准，明确数据安全责任。加强数据加密存储，敏感数据加密率达到100%。建设数据安全监控平台，实时监控数据访问行为。开展数据安全培训，培训员工5000人次。通过信息安全等级保护测评，达到三级等保标准。获得ISO27001信息安全管理体系认证。建立隐私保护制度，制定隐私政策，明确用户权利。开展隐私保护审计，确保合规使用用户数据。处理用户数据访问请求5000件，响应率达到100%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五、内容治理成效显著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内容治理，营造清朗网络空间。建立内容审核机制，配备审核人员2000人，AI审核系统日审核内容1000万条。内容审核准确率达到98%，违规内容拦截率达到99%。处理违规内容500万条，封禁违规账号50万个。建立内容举报机制，处理用户举报100万件，举报处理率达到100%。开展网络文明宣传，发布正能量内容500万条。建立创作者扶持计划，扶持优质创作者10万人，发放创作激励5亿元。建设内容生态，优质内容占比达到80%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推动可持续发展。开展数字素养提升计划，培训用户100万人次。开展网络扶贫项目，帮扶贫困地区100个，惠及群众500万人。开展青少年保护项目，建设青少年模式，保护未成年人身心健康。开展环保项目，建设绿色数据中心，节能减排效果显著。开展公益项目，捐赠资金1亿元，支持教育、医疗、环保等公益事业。开展员工关怀项目，提升员工福利待遇。开展社区服务项目，服务社区居民100万人次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2000人，其中高级人才200人，海外人才50人。员工总数达到8000人，其中研发人员4000人，占比达到50%。开展员工培训，全年培训员工20000人次。完善薪酬激励体系，实施股权激励计划，激励员工500人。加强企业文化建设，开展企业文化活动，增强员工凝聚力。员工满意度达到90%，员工流失率控制在10%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创新驱动发展战略，加大研发投入。推进产品创新，提升用户体验。加强技术研发，提升核心竞争力。加强数据安全管理，保护用户隐私。加强内容治理，营造清朗网络空间。履行社会责任，推动可持续发展。加强人才队伍建设，打造高素质团队。推进国际化战略，拓展海外市场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