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金融行业工作总结模板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根据国家金融监督管理总局的工作部署和要求，我行坚持服务实体经济导向，全面加强风险防控，不断提升金融服务质量和效率。现将本年度工作总结如下：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一、业务发展稳中有进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银行坚持稳健经营理念，优化业务结构，实现高质量发展。截至年末，资产总额达到8500亿元，同比增长12.5%；各项存款余额6200亿元，同比增长15.2%；各项贷款余额4800亿元，同比增长18.6%。实现营业收入280亿元，同比增长8.5%；实现净利润95亿元，同比增长10.2%。不良贷款率控制在1.5%以下，拨备覆盖率达到180%，资本充足率达到14.5%。主要监管指标均符合监管要求，经营状况良好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二、服务实体经济成效显著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银行坚持服务实体经济本源，加大对重点领域和薄弱环节的支持力度。本年度新增贷款投放1200亿元，其中小微企业贷款新增450亿元，占比达到37.5%。普惠型小微企业贷款余额达到800亿元，增速达到25%，高于各项贷款平均增速。制造业贷款新增150亿元，支持制造业转型升级。绿色贷款新增200亿元，支持绿色产业发展。涉农贷款新增180亿元，支持乡村振兴战略实施。民营企业贷款新增280亿元，支持民营经济发展。降低企业融资成本，新发放贷款加权平均利率较上年下降0.3个百分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三、金融创新持续推进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银行加快金融产品创新，提升金融服务能力。推出线上贷款产品"快易贷"，实现贷款全流程线上办理，审批时效缩短至1小时。推出供应链金融产品，为核心企业上下游企业提供融资服务，供应链金融余额达到150亿元。推出知识产权质押贷款，支持科技创新企业发展。推出乡村振兴专属信贷产品，支持农业农村现代化建设。加快数字化转型，手机银行用户达到500万户，月活跃用户达到200万户。网上银行交易量达到1.2亿笔，交易金额达到5万亿元。推出智能客服系统，智能客服占比达到80%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四、风险管理不断加强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银行建立健全全面风险管理体系，加强风险防控。完善风险管理组织架构，设立风险管理委员会，明确风险管理职责。加强信用风险管理，完善授信审批流程，强化贷后管理。开展风险排查，排查风险资产150亿元，处置不良资产80亿元。加强市场风险管理，建立市场风险限额管理体系，控制市场风险敞口。加强操作风险管理，完善内部控制制度，开展操作风险培训。加强流动性风险管理，保持充足的流动性储备，流动性比例达到55%。加强信息科技风险管理，完善网络安全防护体系，保障信息系统安全稳定运行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五、合规经营水平不断提升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银行加强合规管理，确保依法合规经营。完善合规管理制度，制定合规手册，明确合规要求。开展合规培训，全年培训员工12000人次。加强反洗钱管理，完善客户身份识别制度，报送可疑交易报告1500份。加强消费者权益保护，设立消费者投诉处理中心，处理消费者投诉2800件，投诉处理满意率达到95%。开展合规检查，发现问题及时整改。配合监管检查，接受监管检查12次，整改问题56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银行加强人才队伍建设，提升员工素质。本年度引进各类人才350人，其中硕士研究生以上学历180人。开展员工培训，全年培训员工15000人次，培训时长达到30万小时。完善绩效考核体系，建立市场化薪酬激励机制。加强干部队伍建设，选拔任用中层干部35人。开展员工职业发展规划，拓宽员工职业发展通道。加强企业文化建设，开展企业文化活动，增强员工凝聚力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银行积极履行社会责任，回馈社会。开展金融知识普及活动，举办金融知识讲座200场，发放宣传资料10万份。开展扶贫帮困活动，捐赠资金500万元，帮扶贫困户500户。开展志愿服务活动，组织员工志愿服务5000人次。支持教育事业发展，捐建希望小学2所。支持文化体育事业发展，赞助文化活动10场。做好消费者权益保护工作，维护金融消费者合法权益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实现高质量发展。加大对实体经济的支持力度，服务国家战略实施。加强风险管理，确保资产质量安全。推进金融创新，提升金融服务能力。加强合规管理，确保依法合规经营。加强人才队伍建设，提升员工素质。履行社会责任，回馈社会。推进数字化转型，提升运营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